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LIME-BASED MARMORINO PLASTER (MARMORINO INTONACO™ – INTERIOR)</w:t>
      </w:r>
    </w:p>
    <w:p w:rsidR="00000000" w:rsidDel="00000000" w:rsidP="00000000" w:rsidRDefault="00000000" w:rsidRPr="00000000" w14:paraId="00000004">
      <w:pPr>
        <w:spacing w:after="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Mature Lime Putty Decorative Finish – Matte to Low Sheen</w:t>
      </w:r>
    </w:p>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spacing w:line="24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7">
            <w:pPr>
              <w:spacing w:line="240" w:lineRule="auto"/>
              <w:rPr>
                <w:rFonts w:ascii="Times New Roman" w:cs="Times New Roman" w:eastAsia="Times New Roman" w:hAnsi="Times New Roman"/>
                <w:i w:val="1"/>
                <w:iCs w:val="1"/>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Marmorino Intonaco™</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Marmorino Intonaco™</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surface irregularities may be visible. Careful consideration should be given when specifying substrates to clearly define acceptable quality levels.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4 or Level 5 drywall finish in accordance with the Gypsum Association’s GA-214, Recommended Levels of Gypsum Board Finish. A Level 4 or Level 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Marmorino Intonaco™</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2">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Marmorino Intonaco™</w:t>
            </w:r>
            <w:r w:rsidDel="00000000" w:rsidR="00000000" w:rsidRPr="00000000">
              <w:rPr>
                <w:rFonts w:ascii="Times New Roman" w:cs="Times New Roman" w:eastAsia="Times New Roman" w:hAnsi="Times New Roman"/>
                <w:b w:val="1"/>
                <w:bCs w:val="1"/>
                <w:color w:val="bf4f14"/>
                <w:rtl w:val="0"/>
              </w:rPr>
              <w:t xml:space="preserve"> </w:t>
            </w:r>
            <w:r w:rsidDel="00000000" w:rsidR="00000000" w:rsidRPr="00000000">
              <w:rPr>
                <w:rFonts w:ascii="Times New Roman" w:cs="Times New Roman" w:eastAsia="Times New Roman" w:hAnsi="Times New Roman"/>
                <w:color w:val="bf4f14"/>
                <w:rtl w:val="0"/>
              </w:rPr>
              <w:t xml:space="preserve">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numPr>
          <w:ilvl w:val="1"/>
          <w:numId w:val="2"/>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SUMMARY</w:t>
      </w:r>
    </w:p>
    <w:p w:rsidR="00000000" w:rsidDel="00000000" w:rsidP="00000000" w:rsidRDefault="00000000" w:rsidRPr="00000000" w14:paraId="00000017">
      <w:pPr>
        <w:spacing w:after="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A.Section Includes: Limestone based, natural minerals decorative plaster interior finish. </w:t>
      </w:r>
    </w:p>
    <w:p w:rsidR="00000000" w:rsidDel="00000000" w:rsidP="00000000" w:rsidRDefault="00000000" w:rsidRPr="00000000" w14:paraId="0000001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1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1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numPr>
          <w:ilvl w:val="1"/>
          <w:numId w:val="2"/>
        </w:numPr>
        <w:spacing w:after="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REFERENCES</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2E">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2F">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0">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A">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3B">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3C">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3F">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1">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2">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3">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4">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5">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4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4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4E">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proprietary additives formulated to achieve a breathable, natural finish. Product shall contain no added volatile organic compounds (VOCs).</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Intonaco™  decorative lime-based venetian plaster coating system.</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B">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5C">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5D">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lime-based finishes. Such variation is an inherent characteristic of the material and system.</w:t>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one of the following, as specified:</w:t>
      </w:r>
    </w:p>
    <w:p w:rsidR="00000000" w:rsidDel="00000000" w:rsidP="00000000" w:rsidRDefault="00000000" w:rsidRPr="00000000" w14:paraId="00000063">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Stain Shield sealer.</w:t>
      </w:r>
    </w:p>
    <w:p w:rsidR="00000000" w:rsidDel="00000000" w:rsidP="00000000" w:rsidRDefault="00000000" w:rsidRPr="00000000" w14:paraId="00000064">
      <w:pPr>
        <w:numPr>
          <w:ilvl w:val="0"/>
          <w:numId w:val="7"/>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Hydrowax.</w:t>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1"/>
          <w:numId w:val="8"/>
        </w:numPr>
        <w:spacing w:after="0" w:lineRule="auto"/>
        <w:ind w:left="36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PREPARATION</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6C">
      <w:pPr>
        <w:numPr>
          <w:ilvl w:val="0"/>
          <w:numId w:val="1"/>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6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4 or Level 5 finish and be primed with a PVA primer to achieve a uniform surface.</w:t>
      </w:r>
    </w:p>
    <w:p w:rsidR="00000000" w:rsidDel="00000000" w:rsidP="00000000" w:rsidRDefault="00000000" w:rsidRPr="00000000" w14:paraId="0000007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APPLICATION TOOLS </w:t>
      </w:r>
    </w:p>
    <w:p w:rsidR="00000000" w:rsidDel="00000000" w:rsidP="00000000" w:rsidRDefault="00000000" w:rsidRPr="00000000" w14:paraId="0000007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7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AND WAX APPLICATION</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one of the following protective finishes as specified:</w:t>
        <w:br w:type="textWrapping"/>
        <w:t xml:space="preserve">    1. Meoded Stain Shield sealer.</w:t>
        <w:br w:type="textWrapping"/>
        <w:t xml:space="preserve">    2. Meoded Hydrowax.</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selected protective finish in accordance with manufacturer’s written instructions.</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Remove excess material and ensure uniform appearance. Final appearance may vary depending on application technique and selected protective finish.</w:t>
      </w:r>
    </w:p>
    <w:p w:rsidR="00000000" w:rsidDel="00000000" w:rsidP="00000000" w:rsidRDefault="00000000" w:rsidRPr="00000000" w14:paraId="0000008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CLEANING</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ovCS1AJxaCLV+tpW0A6G2HnEQ==">CgMxLjA4AHIhMUpLdktURkpkWTVjUXpPZ1JBX1daVW1VakdIaXBHZFIt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