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1157287</wp:posOffset>
            </wp:positionH>
            <wp:positionV relativeFrom="paragraph">
              <wp:posOffset>0</wp:posOffset>
            </wp:positionV>
            <wp:extent cx="3629025" cy="8083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835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LIME-BASED MARMORINO PLASTER (MARMORINO PALLADINO® – INTERIOR)</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Mature Lime Putty Decorative Finish – Matte to Low Sheen</w:t>
      </w:r>
    </w:p>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9">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Marmorino Palladino®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Marmorino Palladino®, surface irregularities may be visible. Careful consideration should be given when specifying substrates to clearly define acceptable quality levels.</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 or Level 5 drywall finish in accordance with the Gypsum Association’s GA-214, Recommended Levels of Gypsum Board Finish. A Level 4-5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Marmorino Palladino®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3">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4">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Marmorino Palladino®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w:t>
      </w:r>
    </w:p>
    <w:p w:rsidR="00000000" w:rsidDel="00000000" w:rsidP="00000000" w:rsidRDefault="00000000" w:rsidRPr="00000000" w14:paraId="00000017">
      <w:pPr>
        <w:numPr>
          <w:ilvl w:val="1"/>
          <w:numId w:val="2"/>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8">
      <w:pPr>
        <w:spacing w:after="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Section Includes: Limestone based, natural minerals decorative plaster interior finish.</w:t>
      </w:r>
      <w:r w:rsidDel="00000000" w:rsidR="00000000" w:rsidRPr="00000000">
        <w:rPr>
          <w:rtl w:val="0"/>
        </w:rPr>
      </w:r>
    </w:p>
    <w:p w:rsidR="00000000" w:rsidDel="00000000" w:rsidP="00000000" w:rsidRDefault="00000000" w:rsidRPr="00000000" w14:paraId="00000019">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A">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1B">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1C">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2"/>
        </w:num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0">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F">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0">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1">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B">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C">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D">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1">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3">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5">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6">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4F">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proprietary additives formulated to achieve a breathable, natural finish. Product shall contain no added volatile organic compounds (VOCs).</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Palladino® decorative lime-based venetian plaster coating system.</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5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5E">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lime-based finishes. Such variation is an inherent characteristic of the material and system.</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one of the following, as specified:</w:t>
      </w:r>
    </w:p>
    <w:p w:rsidR="00000000" w:rsidDel="00000000" w:rsidP="00000000" w:rsidRDefault="00000000" w:rsidRPr="00000000" w14:paraId="00000064">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Stain Shield sealer.</w:t>
      </w:r>
    </w:p>
    <w:p w:rsidR="00000000" w:rsidDel="00000000" w:rsidP="00000000" w:rsidRDefault="00000000" w:rsidRPr="00000000" w14:paraId="00000065">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Hydrowax.</w: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1"/>
          <w:numId w:val="8"/>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E">
      <w:pPr>
        <w:numPr>
          <w:ilvl w:val="0"/>
          <w:numId w:val="1"/>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APPLICATION TOOLS </w:t>
      </w:r>
    </w:p>
    <w:p w:rsidR="00000000" w:rsidDel="00000000" w:rsidP="00000000" w:rsidRDefault="00000000" w:rsidRPr="00000000" w14:paraId="0000007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AND WAX APPLICATION</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one of the following protective finishes as specified:</w:t>
        <w:br w:type="textWrapping"/>
        <w:t xml:space="preserve">    1. Meoded Stain Shield sealer.</w:t>
        <w:br w:type="textWrapping"/>
        <w:t xml:space="preserve">    2. Meoded Hydrowax.</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selected protective finish in accordance with manufacturer’s written instructions.</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Remove excess material and ensure uniform appearance. Final appearance may vary depending on application technique and selected protective finish.</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CLEANING</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LOGmmb8xd0l4WinZYCarkYh1Q==">CgMxLjA4AHIhMTJQU005aUhBZnBsZmlZSnY3WDNzSFk2OWhESnotQnpk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